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4F" w:rsidRDefault="000719A4" w:rsidP="000719A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Івочко</w:t>
      </w:r>
      <w:proofErr w:type="spellEnd"/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 xml:space="preserve"> Павло Олександрович</w:t>
      </w:r>
      <w:bookmarkStart w:id="0" w:name="_GoBack"/>
      <w:bookmarkEnd w:id="0"/>
    </w:p>
    <w:p w:rsidR="000719A4" w:rsidRDefault="000719A4" w:rsidP="00B945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</w:p>
    <w:p w:rsidR="00976C2A" w:rsidRDefault="008B51AE" w:rsidP="00B945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Повсякденне життя населення Радянського Союзу в тилових районах в період Другої Світової війни.</w:t>
      </w:r>
    </w:p>
    <w:p w:rsidR="00B94595" w:rsidRPr="0082751C" w:rsidRDefault="00B94595" w:rsidP="00B945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</w:p>
    <w:p w:rsidR="00976C2A" w:rsidRPr="0082751C" w:rsidRDefault="00976C2A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A3A3A"/>
          <w:sz w:val="28"/>
          <w:szCs w:val="28"/>
          <w:lang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Друга Світова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війна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призвела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погіршення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умов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життя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побуту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цивільного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населення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Радянського Союзу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не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тільки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окупованих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гітлерівцями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района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х, а і в тилових, де бойових дій не було.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Стрімкий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наступ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німецько-фашистських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військ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а за ним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–</w:t>
      </w:r>
      <w:r w:rsidR="0082751C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захоплення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західних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областей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Радянського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Союзу,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які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виробляли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приблизно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половину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сільсько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-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господарської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промислової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продукції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привели до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скорочення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матеріальних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ресурсів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країни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результаті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виникла велика проблема</w:t>
      </w:r>
      <w:r w:rsidR="00F42D6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постачання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громадян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продуктами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харчування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промисловими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товарами. </w:t>
      </w:r>
    </w:p>
    <w:p w:rsidR="0082751C" w:rsidRDefault="000E708F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Тому з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початком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країна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почала перехід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карткової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системи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постачання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населення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Вже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18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липня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1941 р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оку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картки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хліб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м'ясо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жири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інші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основні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продукти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харчування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введені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Москві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Ленінграді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до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кінця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року на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постачан</w:t>
      </w:r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ня</w:t>
      </w:r>
      <w:proofErr w:type="spellEnd"/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</w:t>
      </w:r>
      <w:proofErr w:type="spellStart"/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картках</w:t>
      </w:r>
      <w:proofErr w:type="spellEnd"/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перейшов</w:t>
      </w:r>
      <w:proofErr w:type="spellEnd"/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весь </w:t>
      </w:r>
      <w:proofErr w:type="spellStart"/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тил</w:t>
      </w:r>
      <w:proofErr w:type="spellEnd"/>
      <w:r w:rsidR="00C33718" w:rsidRPr="00C337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="00C3371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[1]</w:t>
      </w:r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  <w:r w:rsidR="00C3371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1942 року на державному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постачанні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хлібом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82751C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перебувало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62 млн.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чоловік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при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цьому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тилу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колгоспах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працювали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основному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жінки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діти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люди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похилого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віку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(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чоловіки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пішли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фронт).</w:t>
      </w:r>
      <w:r w:rsidR="002A2261" w:rsidRPr="0082751C">
        <w:rPr>
          <w:rFonts w:ascii="Times New Roman" w:hAnsi="Times New Roman" w:cs="Times New Roman"/>
          <w:sz w:val="28"/>
          <w:szCs w:val="28"/>
        </w:rPr>
        <w:t xml:space="preserve"> </w:t>
      </w:r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Головне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місце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селі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зайняли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жінки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Оранка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сівба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збирання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врожаю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догляд за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худобою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заготівля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кормів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та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багато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ін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шого</w:t>
      </w:r>
      <w:proofErr w:type="spellEnd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лягло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плечі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жінок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"Я і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кінь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я і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бик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я і баба, і мужик", 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–</w:t>
      </w:r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казали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багато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них у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воєнну</w:t>
      </w:r>
      <w:proofErr w:type="spellEnd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пору. </w:t>
      </w:r>
      <w:proofErr w:type="spellStart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Жінок</w:t>
      </w:r>
      <w:proofErr w:type="spellEnd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висували</w:t>
      </w:r>
      <w:proofErr w:type="spellEnd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керівні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та</w:t>
      </w:r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громадські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посади. 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Серед</w:t>
      </w:r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голів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колгоспів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фахівців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сільського</w:t>
      </w:r>
      <w:proofErr w:type="spellEnd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2A226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господарст</w:t>
      </w:r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ва</w:t>
      </w:r>
      <w:proofErr w:type="spellEnd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роки </w:t>
      </w:r>
      <w:proofErr w:type="spellStart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більшість </w:t>
      </w:r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становили </w:t>
      </w:r>
      <w:proofErr w:type="spellStart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жінки</w:t>
      </w:r>
      <w:proofErr w:type="spellEnd"/>
      <w:r w:rsidR="000273B3" w:rsidRPr="000273B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[2</w:t>
      </w:r>
      <w:r w:rsidR="000273B3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]</w:t>
      </w:r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Для потреб фронту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була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мобілізована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більша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частина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сільсько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-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господарської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техніки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коней. 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Постачання колгоспів</w:t>
      </w:r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тракторами та </w:t>
      </w:r>
      <w:proofErr w:type="spellStart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іншою</w:t>
      </w:r>
      <w:proofErr w:type="spellEnd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технікою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42D68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припинило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повністю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Близько 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80%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всіх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сільсько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-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господарських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робіт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доводилося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виконувати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вручну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r w:rsid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нерідко селяни самі впрягалися в плуг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В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результаті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оброблено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меншу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кількість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посівних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площ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що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стало причиною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значного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падіння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врожаю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Ситуація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селі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складалася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критична,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картопля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стала другим </w:t>
      </w:r>
      <w:proofErr w:type="spellStart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хлібом</w:t>
      </w:r>
      <w:proofErr w:type="spellEnd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не </w:t>
      </w:r>
      <w:proofErr w:type="spellStart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було</w:t>
      </w:r>
      <w:proofErr w:type="spellEnd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круп, </w:t>
      </w:r>
      <w:proofErr w:type="spellStart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цукру</w:t>
      </w:r>
      <w:proofErr w:type="spellEnd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м'яса</w:t>
      </w:r>
      <w:proofErr w:type="spellEnd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навіть</w:t>
      </w:r>
      <w:proofErr w:type="spellEnd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хліба</w:t>
      </w:r>
      <w:proofErr w:type="spellEnd"/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Практично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всі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продукти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віддавалися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постачання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фронту і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міст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колгоспники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виживали</w:t>
      </w:r>
      <w:proofErr w:type="spellEnd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 </w:t>
      </w:r>
      <w:proofErr w:type="spellStart"/>
      <w:r w:rsidR="00F5119D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</w:t>
      </w:r>
      <w:r w:rsid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ахунок</w:t>
      </w:r>
      <w:proofErr w:type="spellEnd"/>
      <w:r w:rsid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підсобного</w:t>
      </w:r>
      <w:proofErr w:type="spellEnd"/>
      <w:r w:rsid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господарства</w:t>
      </w:r>
      <w:proofErr w:type="spellEnd"/>
      <w:r w:rsid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</w:t>
      </w:r>
    </w:p>
    <w:p w:rsidR="007433F9" w:rsidRPr="0082751C" w:rsidRDefault="002A2261" w:rsidP="002079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Зниження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рівня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споживання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населення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у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воєнні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роки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відбувалося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тлі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збільшення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трудового дня 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обов'язкових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поставок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державі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Перебудова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життя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населення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тилу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проходила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під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гаслом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«Все для фронту! В</w:t>
      </w:r>
      <w:r w:rsidR="000E708F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се для перемоги!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». З перших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днів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узаконені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обов'язкові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понаднормові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роботи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для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робітників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службовців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робочий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день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збільшений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11 годин,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відпустки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скасовані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Для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порушників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трудової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дисципліни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вводилися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жорсткі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санкції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Т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ак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наприклад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за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відхід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 заводу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або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фабрики без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дозволу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керівництва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підприємства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передбачалося ув’язнення на строк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п'яти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восьми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років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Але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навіть</w:t>
      </w:r>
      <w:proofErr w:type="spellEnd"/>
      <w:r w:rsidR="000E708F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,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незважаючи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такі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кардинальні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заходи</w:t>
      </w:r>
      <w:r w:rsidR="000E708F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,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промислових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об'єктах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країни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не вистачало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робочих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рук, 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результаті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чого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було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прийнято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рішення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компенсувати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виробництві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дефіцит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чоловіків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за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раху</w:t>
      </w:r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нок</w:t>
      </w:r>
      <w:proofErr w:type="spellEnd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жінок</w:t>
      </w:r>
      <w:proofErr w:type="spellEnd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дітей</w:t>
      </w:r>
      <w:proofErr w:type="spellEnd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старшого </w:t>
      </w:r>
      <w:proofErr w:type="spellStart"/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віку</w:t>
      </w:r>
      <w:proofErr w:type="spellEnd"/>
      <w:r w:rsidR="000273B3" w:rsidRPr="000273B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[3</w:t>
      </w:r>
      <w:r w:rsidR="000273B3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]</w:t>
      </w:r>
      <w:r w:rsidR="000273B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</w:p>
    <w:p w:rsidR="007433F9" w:rsidRPr="0082751C" w:rsidRDefault="007433F9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Величезне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число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евакуйованих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проблема з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їх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розміщенням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умовах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воєнного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часу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ще більше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змінили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повсякденне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життя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країни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погіршили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матеріально-побутове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становище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місцевих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жителів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.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Стрімке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просування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військ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вермахту 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глиб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країни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кровопролитні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бої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звірства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німців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відношенню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цивільного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населення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на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окупованих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територіях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призвели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масової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евакуації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мирних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жителів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продуктивних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сил в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тилові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регіони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</w:p>
    <w:p w:rsidR="00590F3C" w:rsidRPr="0082751C" w:rsidRDefault="00590F3C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Головними регіонами розміщення евакуйованого населення були Поволжя, Урал, Сибір, Казахстан і Середня Азія). Багато десятків тисяч евакуйованих</w:t>
      </w:r>
      <w:r w:rsidR="00F65ADA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прийняв Челябінськ </w:t>
      </w:r>
      <w:r w:rsidR="000E708F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та інші великі міста регіону. До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них разом з промисловим обладнанням прибували інженери, техніки, конструктори, вчені, кваліфіковані робітники. Особи неіндустріальних професій прямували в невеликі міста і села.</w:t>
      </w:r>
    </w:p>
    <w:p w:rsidR="00590F3C" w:rsidRPr="0082751C" w:rsidRDefault="00590F3C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Приплив величезної маси евакуйованого населення (особливо у великі міста) створив </w:t>
      </w:r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надзвичайну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житлову проблему. Евакуйованих розселяли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lastRenderedPageBreak/>
        <w:t>шляхом «ущільнення» в оселі місцевих жителів. При цьому в індустріальних містах «ущільнювали» багаторазово. Від цього, наприклад, в Челябінську на одного жителя припадало до двох квадратних метрів житла.</w:t>
      </w:r>
    </w:p>
    <w:p w:rsidR="00590F3C" w:rsidRPr="0082751C" w:rsidRDefault="003E035E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Крім того д</w:t>
      </w:r>
      <w:r w:rsidR="000038B3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ля розселення біженців передавалися будівлі шкіл, будинків культур</w:t>
      </w:r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и, відомчих клубів</w:t>
      </w:r>
      <w:r w:rsidR="000038B3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 Часто житло було</w:t>
      </w:r>
      <w:r w:rsidR="00590F3C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без елементарних «зручностей». Його необхідно було обігрівати і піклуватися про заготівлю палива на довгі і холодні зими, приносити відрами воду. У цих умовах дотримання санітарних норм далеко не завжди було можливим.</w:t>
      </w:r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</w:p>
    <w:p w:rsidR="00590F3C" w:rsidRPr="0082751C" w:rsidRDefault="00590F3C" w:rsidP="0008759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Спочатку прибулих по евакуації місцеве населення зустрічало із співчуттям. Але на тлі зростаючої загальної невлаштованості, дефіциту продовольства, багатьох інших поневірянь і злигоднів, породжених війною, місцеві іноді проявляли ворожість до приїжджих</w:t>
      </w:r>
      <w:r w:rsidR="00F65ADA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[4</w:t>
      </w:r>
      <w:r w:rsidR="00F65ADA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]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</w:p>
    <w:p w:rsidR="00C92F38" w:rsidRPr="0082751C" w:rsidRDefault="00DB62FD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Поряд із побутовими проблемами, недоїданням, виснажливою багатогодинною працею населення в тилових регіонах Радянського Союзу намагалося жити повним і насиченим життям. У великих містах </w:t>
      </w:r>
      <w:r w:rsidR="006471D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все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ще працювали театри. Місцева влада </w:t>
      </w:r>
      <w:r w:rsidR="00C92F3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організовувала на місцях індивідуальні та групові бесіди, колективне читання газет з подальшим їх обговоренням, концертні виступи в перервах між змінами, проведення зборів домогосподарок, інтелігенції. Для залучення в масову роботу сільських трудівників під час збору врожаю були організовані пересувні біблі</w:t>
      </w:r>
      <w:r w:rsidR="006471D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отеки, похідні клуби, агітпоїзди</w:t>
      </w:r>
      <w:r w:rsidR="00C92F3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 Працівники закладів культури і агітатори під час перерв на полях роз'яснювали колгоспникам промови керівників країни, давали зведення з полів битв. Перед переглядом фільмів в кінотеатрах проводилися бесіди.</w:t>
      </w:r>
      <w:r w:rsidR="006471D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В багатьох населених пунктах, особливо на селі, організовувались гуртки народної самодіяльності. </w:t>
      </w:r>
    </w:p>
    <w:p w:rsidR="00DB62FD" w:rsidRPr="0082751C" w:rsidRDefault="00C92F38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Важливу роль в патріотичному вихованні населення </w:t>
      </w:r>
      <w:r w:rsidR="00F65ADA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від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іграло радіо, яке постійно тримало жителів країни в курсі подій, що відбуваються на фронтах, в тилу і на міжнародній арені.</w:t>
      </w:r>
    </w:p>
    <w:p w:rsidR="00C92F38" w:rsidRPr="0082751C" w:rsidRDefault="00C92F38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Необхідно зазначити, що державний і громадський контроль над усіма сферами життя населення країни був вимушеним заходом, оскільки державі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lastRenderedPageBreak/>
        <w:t>необхідна була мобілізація всіх ресурсів на боротьбу з нацизмом і досягнення перемоги у війні.</w:t>
      </w:r>
    </w:p>
    <w:p w:rsidR="00C92F38" w:rsidRPr="0082751C" w:rsidRDefault="00C92F38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В умовах частих втрат і поразок радянських військових частин на фронтах, а також значного ускладнення військово-політичної обстановки в перші місяці війни керівництвом країни було прийнято постанову про організацію обов'язкових занять з військової справи громадян у віці від 16 до 50 років. На заводах, фабриках і в колгоспах країни була організована мережа військово-навчальних пунктів. Обов'язкове військове навчання проводилося за 110-годинною програмою без відриву від виробництва силам</w:t>
      </w:r>
      <w:r w:rsidR="00C528D5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и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військкоматів</w:t>
      </w:r>
      <w:r w:rsidR="00F65ADA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[5</w:t>
      </w:r>
      <w:r w:rsidR="00F65ADA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].</w:t>
      </w:r>
    </w:p>
    <w:p w:rsidR="00325E82" w:rsidRPr="0082751C" w:rsidRDefault="00325E82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Характерною рисою повсякденності </w:t>
      </w:r>
      <w:r w:rsidR="000C576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міських жителів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було серйозне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обмеже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ння можливості користування тими побутовими благами, що асоціювалися з уявленнями про побутовий комфорт в соціумі, а саме: електричним освітленням, централізованим водопостачанням, каналізацією, центральним опаленням і т.д. В</w:t>
      </w:r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плив воєнн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ого чинника проявив</w:t>
      </w:r>
      <w:r w:rsidR="000C576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ся також в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дефіциті миючих засобів та обмеження можливостей для особистої гігієни, які сприяли частому виникненню шкірних захворювань. Але щодо особистих речей, необхідних в побуті, таких як одяг і взуття, що визначали повсякденний зовнішній вигляд особливо молодої людини, давав можливість для городян підтримувати відносно гідний для екстре</w:t>
      </w:r>
      <w:r w:rsidR="002079E7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мальних умов зовнішній вигляд. В г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ардероб</w:t>
      </w:r>
      <w:r w:rsidR="002079E7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і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міських юнаків і дівчат все ж таки іноді </w:t>
      </w:r>
      <w:r w:rsidR="002079E7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був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не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тільки повсякденний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, пристосований до різних сезонів одяг і взуття</w:t>
      </w:r>
      <w:r w:rsidR="00087594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, але навіть і святкове вбрання, яке було придбане ще до війни.</w:t>
      </w:r>
    </w:p>
    <w:p w:rsidR="00325E82" w:rsidRPr="0082751C" w:rsidRDefault="00325E82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Соціально-побутова сторона в повсякденному житті сільського населення в роки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війни</w:t>
      </w:r>
      <w:r w:rsidR="002079E7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відображала глибоку соціально-економічну деградацію села. Забезпеченість предметами особистого вжитку 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–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одягом і взуттям – майже цілком залежала від можливостей домашнього їх виробництва, що, втім, було характерно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і для довоєнного періоду.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В умовах, коли 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на перш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ому місці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бу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ло забезпечення життєздатності організму, домашній комфорт і побут, зовнішній вигляд і особиста гігієна 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займали 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lastRenderedPageBreak/>
        <w:t>другорядні ролі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 На зазначених рівнях побуту примітивізація його виявлялася максимально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ю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: відсутність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підлог в будинках, ліжок, інших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меблів, постільної білизни, </w:t>
      </w:r>
      <w:r w:rsidR="00C528D5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а як результат –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масові епідемії на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грунті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антисанітарії ставали постійним атр</w:t>
      </w:r>
      <w:r w:rsidR="00E16BB2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ибутом буденного життя сільського населення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</w:p>
    <w:p w:rsidR="00E16BB2" w:rsidRPr="0082751C" w:rsidRDefault="00E16BB2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В період війни шкільні будні учнівської молоді тилових регіонів проходили в умовах занять в три зміни, величезного дефіциту класних приміщень, поганої їх освітленості і опалення, скупченості і тісноти в класах, відсутності всього найнеобхіднішого для організації навчального процесу – канцелярського приладдя, зошитів і підручників, частих тривалих перерв в навчальному році, викликаних непристосованістю навчальних приміщень і необхідністю використання праці школярів в народно-господарському комплексі.</w:t>
      </w:r>
    </w:p>
    <w:p w:rsidR="009B35B5" w:rsidRPr="0082751C" w:rsidRDefault="00E16BB2" w:rsidP="002079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Проте, державі вдавалося підтримувати той мінімально необхідний рівень стану народної освіти, що забезпечував відтворення освітнього потенціалу суспільства. Незважаючи ні на які труднощі, юнаки і дівчата мали дуже високий рівень моти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вації до отримання освіти</w:t>
      </w:r>
      <w:r w:rsidR="00B94595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[6</w:t>
      </w:r>
      <w:r w:rsidR="00B9459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].</w:t>
      </w:r>
      <w:r w:rsidR="002079E7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</w:p>
    <w:p w:rsidR="009B35B5" w:rsidRPr="0082751C" w:rsidRDefault="009B35B5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У структурі повсякденн</w:t>
      </w:r>
      <w:r w:rsidR="00B94595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я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підлітків і молоді в період Другої Світової війни дозвілля займало, мабуть, саме скромне місце, оскільки військова обстановка вкрай обмежувала можливості використання вільного часу для відпочинку і розваг. Однак вік, інтереси,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психо-емоційні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установки, життєвий оптимізм, який властивий підліткам і молоді, в кінцевому рахунку брали своє, і юнаки</w:t>
      </w:r>
      <w:r w:rsidR="000C576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,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і дівчата знаходили можливості для проведення дозвілля. Дозвілля відігравало роль такого собі інструмента зняття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стану напруженості і страху. Дозвілля було доступніше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для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студентів </w:t>
      </w:r>
      <w:r w:rsidR="000C5763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інститутів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і учнів ФЗО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,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менш доступним </w:t>
      </w:r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–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для робочої і колгоспної молоді.</w:t>
      </w:r>
    </w:p>
    <w:p w:rsidR="009B35B5" w:rsidRPr="0082751C" w:rsidRDefault="009B35B5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Дозвільний рівень повсякденності сільської молоді, будучи прив'язаний до циклічності </w:t>
      </w:r>
      <w:proofErr w:type="spellStart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сільсько-господарських</w:t>
      </w:r>
      <w:proofErr w:type="spellEnd"/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робіт, в своєму змісті відбивав досить серйозний вплив традиційної селянської культури з її формами відпочинку та розваг – дівочими та молодіжними посиденьками з піснями і хороводами, грою в сніжки і катання</w:t>
      </w:r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м на санчат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ах взимку, колективними застіллями по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lastRenderedPageBreak/>
        <w:t>великих святах, згуртовуючи весь сільський мікросвіт. Культурно-масова діяльність в середовищі сільської молоді в роки війни розвивалася в контексті політико-пропагандистської роботи, однак через слабкість матеріально-технічної бази вона мала надзвичайно слабкий вплив на форми і зміст дозвілля молодих селян.</w:t>
      </w:r>
    </w:p>
    <w:p w:rsidR="009B35B5" w:rsidRDefault="009B35B5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Дозвілля міських юнаків і дівчат </w:t>
      </w:r>
      <w:r w:rsidR="00E960D1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було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більш </w:t>
      </w:r>
      <w:r w:rsidR="009F606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модернізованим</w:t>
      </w:r>
      <w:r w:rsidR="0034284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Можливості культурного проведення часу для юних городян, навіть, незважаючи на екстремальні умови воєнного часу, були, все ж </w:t>
      </w:r>
      <w:r w:rsidR="009F606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більшими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, ніж в сільській м</w:t>
      </w:r>
      <w:r w:rsidR="009F606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ісцевості. Вільний час проводив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ся більш різнобічно і </w:t>
      </w:r>
      <w:r w:rsidR="009F606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набагато змістовніше. Частиною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дозвілля </w:t>
      </w:r>
      <w:r w:rsidR="009F606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молоді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були відвідування </w:t>
      </w:r>
      <w:r w:rsidR="0034284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театрів і кінотеатрів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, участь в спортивних іграх і змаганнях. Для дівчат особливе значення мали </w:t>
      </w:r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відвідува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ння </w:t>
      </w:r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танців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, де можна було познайомитися з </w:t>
      </w:r>
      <w:r w:rsidR="009F606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хлопцями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.</w:t>
      </w:r>
    </w:p>
    <w:p w:rsidR="00B94595" w:rsidRPr="0082751C" w:rsidRDefault="00B94595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</w:p>
    <w:p w:rsidR="009F6065" w:rsidRDefault="009F6065" w:rsidP="00B9459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Війна стала суворим випробуванням для всього нашого народу. </w:t>
      </w:r>
      <w:r w:rsidR="00C528D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Побутова сторона в повсякденному житті населення тилових районів  в роки Другої Світової </w:t>
      </w:r>
      <w:r w:rsidR="00C528D5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війни теж </w:t>
      </w:r>
      <w:r w:rsidR="00C528D5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відобразила в своєму змісті негативний вплив екстремальних умов воєнного часу.</w:t>
      </w:r>
      <w:r w:rsidR="00C528D5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Радянські люди в тилу, як і на фронті, витримали це випробування з честю. Незважаючи на матеріальні, психологічні, соціальні та інші стресові фактори</w:t>
      </w:r>
      <w:r w:rsidR="00C33718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,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радянський народ проявив вражаючу стійкість, </w:t>
      </w:r>
      <w:r w:rsidR="00B94595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саме це</w:t>
      </w:r>
      <w:r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 xml:space="preserve"> і дозволило країні вистояти в тій страшній війні і перемогти, врятувати світ від </w:t>
      </w:r>
      <w:r w:rsidR="006471D8" w:rsidRPr="0082751C"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  <w:t>фашизму.</w:t>
      </w:r>
    </w:p>
    <w:p w:rsidR="00B94595" w:rsidRDefault="00B94595" w:rsidP="00B94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</w:p>
    <w:p w:rsidR="00B94595" w:rsidRDefault="00B94595" w:rsidP="00B94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</w:p>
    <w:p w:rsidR="00C33718" w:rsidRPr="00B94595" w:rsidRDefault="00C33718" w:rsidP="00B945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</w:p>
    <w:p w:rsidR="00C33718" w:rsidRDefault="00C33718" w:rsidP="00B945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  <w:r w:rsidRPr="00B94595"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  <w:t>Список використаної літератури</w:t>
      </w:r>
    </w:p>
    <w:p w:rsidR="00B94595" w:rsidRPr="00B94595" w:rsidRDefault="00B94595" w:rsidP="00B945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lang w:val="uk-UA" w:eastAsia="ru-RU"/>
        </w:rPr>
      </w:pPr>
    </w:p>
    <w:p w:rsidR="00C33718" w:rsidRPr="00B94595" w:rsidRDefault="00B94595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Кринко</w:t>
      </w:r>
      <w:proofErr w:type="spellEnd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Е.Ф.Карточная</w:t>
      </w:r>
      <w:proofErr w:type="spellEnd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и регламентация потребления советских граждан в 1941–1945 гг. //</w:t>
      </w:r>
      <w:proofErr w:type="spellStart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Сумський</w:t>
      </w:r>
      <w:proofErr w:type="spellEnd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історико-архівний</w:t>
      </w:r>
      <w:proofErr w:type="spellEnd"/>
      <w:r w:rsidR="00C33718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журнал. 2012. № XVI-XVII. С. 149-155.</w:t>
      </w:r>
    </w:p>
    <w:p w:rsidR="00C33718" w:rsidRPr="00B94595" w:rsidRDefault="00B94595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0273B3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Волкова Е.Ю. Женщины тыловых регионов России в период Великой Отечественной войны 1941-1945 гг.: </w:t>
      </w:r>
      <w:proofErr w:type="spellStart"/>
      <w:r w:rsidR="000273B3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="000273B3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. д-ра ист. наук. - СПб</w:t>
      </w:r>
      <w:proofErr w:type="gramStart"/>
      <w:r w:rsidR="000273B3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="000273B3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2008.</w:t>
      </w:r>
    </w:p>
    <w:p w:rsidR="000273B3" w:rsidRPr="00B94595" w:rsidRDefault="000273B3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3. Митрофанова А.В. Рабочий класс СССР в годы Великой Отечественной войны. - М., 1971.</w:t>
      </w:r>
    </w:p>
    <w:p w:rsidR="000273B3" w:rsidRPr="00B94595" w:rsidRDefault="000273B3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F65ADA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Куманев</w:t>
      </w:r>
      <w:proofErr w:type="spellEnd"/>
      <w:r w:rsidR="00F65ADA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Г.А., «Война и эвакуация в СССР 1941-1942 годах», Новая и новейшая история, 2006, № 6.</w:t>
      </w:r>
    </w:p>
    <w:p w:rsidR="00F65ADA" w:rsidRPr="00B94595" w:rsidRDefault="00F65ADA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Сафаралиев</w:t>
      </w:r>
      <w:proofErr w:type="spellEnd"/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 Роль культурно-просветительских учреждений в военно-патриотическом воспитании трудящихся Дагестана в годы Великой Отечественной войны // Народы Кавказа в Великой Отечественной войне 1941-1945 гг.: Материалы международной научной конференции, посвященной 60-летию Победы советского народа в Великой Отечественной войне 1941-1945 гг. Махачкала: ИИАЭ ДНЦ РАН, 2005. С. 289-291.</w:t>
      </w:r>
    </w:p>
    <w:p w:rsidR="00F65ADA" w:rsidRPr="00B94595" w:rsidRDefault="00B94595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273B3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Черник С.А. Советская общеобразовательная школа в годы Великой Отечественной войны. - М., 1975.</w:t>
      </w:r>
    </w:p>
    <w:p w:rsidR="00B94595" w:rsidRPr="00B94595" w:rsidRDefault="00F65ADA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7. Козлов Н. Д. Повседневная жизнь народа в год</w:t>
      </w:r>
      <w:r w:rsidR="00B94595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ы Великой О</w:t>
      </w:r>
      <w:r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течественной войны. Некоторые аспекты современной российской историографии.</w:t>
      </w:r>
      <w:r w:rsidR="00B94595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журнал «</w:t>
      </w:r>
      <w:hyperlink r:id="rId8" w:history="1">
        <w:r w:rsidR="00B94595" w:rsidRPr="00B945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Вестник Ленинградского государ</w:t>
        </w:r>
        <w:r w:rsidR="00B945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ственного университета им. </w:t>
        </w:r>
        <w:proofErr w:type="spellStart"/>
        <w:r w:rsidR="00B945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А.С.</w:t>
        </w:r>
        <w:r w:rsidR="00B94595" w:rsidRPr="00B945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Пушкина</w:t>
        </w:r>
        <w:proofErr w:type="spellEnd"/>
      </w:hyperlink>
      <w:r w:rsidR="00B94595" w:rsidRPr="00B94595">
        <w:rPr>
          <w:rFonts w:ascii="Times New Roman" w:hAnsi="Times New Roman" w:cs="Times New Roman"/>
          <w:color w:val="000000" w:themeColor="text1"/>
          <w:sz w:val="28"/>
          <w:szCs w:val="28"/>
        </w:rPr>
        <w:t>», 2012</w:t>
      </w:r>
    </w:p>
    <w:p w:rsidR="00F65ADA" w:rsidRPr="00B94595" w:rsidRDefault="00F65ADA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5ADA" w:rsidRPr="00B94595" w:rsidRDefault="00F65ADA" w:rsidP="00B9459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35B5" w:rsidRPr="00B94595" w:rsidRDefault="009B35B5" w:rsidP="00B945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</w:p>
    <w:p w:rsidR="009B35B5" w:rsidRPr="00B94595" w:rsidRDefault="009B35B5" w:rsidP="00B9459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ru-RU"/>
        </w:rPr>
      </w:pPr>
    </w:p>
    <w:sectPr w:rsidR="009B35B5" w:rsidRPr="00B9459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1F" w:rsidRDefault="0006121F" w:rsidP="00C33718">
      <w:pPr>
        <w:spacing w:after="0" w:line="240" w:lineRule="auto"/>
      </w:pPr>
      <w:r>
        <w:separator/>
      </w:r>
    </w:p>
  </w:endnote>
  <w:endnote w:type="continuationSeparator" w:id="0">
    <w:p w:rsidR="0006121F" w:rsidRDefault="0006121F" w:rsidP="00C3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074896"/>
      <w:docPartObj>
        <w:docPartGallery w:val="Page Numbers (Bottom of Page)"/>
        <w:docPartUnique/>
      </w:docPartObj>
    </w:sdtPr>
    <w:sdtEndPr/>
    <w:sdtContent>
      <w:p w:rsidR="00C33718" w:rsidRDefault="00C33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9A4">
          <w:rPr>
            <w:noProof/>
          </w:rPr>
          <w:t>1</w:t>
        </w:r>
        <w:r>
          <w:fldChar w:fldCharType="end"/>
        </w:r>
      </w:p>
    </w:sdtContent>
  </w:sdt>
  <w:p w:rsidR="00C33718" w:rsidRDefault="00C33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1F" w:rsidRDefault="0006121F" w:rsidP="00C33718">
      <w:pPr>
        <w:spacing w:after="0" w:line="240" w:lineRule="auto"/>
      </w:pPr>
      <w:r>
        <w:separator/>
      </w:r>
    </w:p>
  </w:footnote>
  <w:footnote w:type="continuationSeparator" w:id="0">
    <w:p w:rsidR="0006121F" w:rsidRDefault="0006121F" w:rsidP="00C3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D15"/>
    <w:multiLevelType w:val="multilevel"/>
    <w:tmpl w:val="FD2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AF7720"/>
    <w:multiLevelType w:val="multilevel"/>
    <w:tmpl w:val="9A20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A3028"/>
    <w:multiLevelType w:val="multilevel"/>
    <w:tmpl w:val="4ECA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A2272"/>
    <w:multiLevelType w:val="multilevel"/>
    <w:tmpl w:val="417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46E98"/>
    <w:multiLevelType w:val="multilevel"/>
    <w:tmpl w:val="168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477AB7"/>
    <w:multiLevelType w:val="multilevel"/>
    <w:tmpl w:val="0FB8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9"/>
    <w:rsid w:val="000038B3"/>
    <w:rsid w:val="000273B3"/>
    <w:rsid w:val="0006121F"/>
    <w:rsid w:val="000719A4"/>
    <w:rsid w:val="00087594"/>
    <w:rsid w:val="000C5763"/>
    <w:rsid w:val="000E0309"/>
    <w:rsid w:val="000E708F"/>
    <w:rsid w:val="0015649E"/>
    <w:rsid w:val="002079E7"/>
    <w:rsid w:val="002A2261"/>
    <w:rsid w:val="00325E82"/>
    <w:rsid w:val="00342845"/>
    <w:rsid w:val="00385147"/>
    <w:rsid w:val="003C6E7B"/>
    <w:rsid w:val="003E035E"/>
    <w:rsid w:val="00590B4F"/>
    <w:rsid w:val="00590F3C"/>
    <w:rsid w:val="006471D8"/>
    <w:rsid w:val="007433F9"/>
    <w:rsid w:val="0082751C"/>
    <w:rsid w:val="00835F2C"/>
    <w:rsid w:val="00865603"/>
    <w:rsid w:val="008B51AE"/>
    <w:rsid w:val="00976C2A"/>
    <w:rsid w:val="009B35B5"/>
    <w:rsid w:val="009F6065"/>
    <w:rsid w:val="00B94595"/>
    <w:rsid w:val="00C33718"/>
    <w:rsid w:val="00C528D5"/>
    <w:rsid w:val="00C92F38"/>
    <w:rsid w:val="00DB62FD"/>
    <w:rsid w:val="00DE62C6"/>
    <w:rsid w:val="00E16BB2"/>
    <w:rsid w:val="00E960D1"/>
    <w:rsid w:val="00F42D68"/>
    <w:rsid w:val="00F5119D"/>
    <w:rsid w:val="00F6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718"/>
  </w:style>
  <w:style w:type="paragraph" w:styleId="a6">
    <w:name w:val="footer"/>
    <w:basedOn w:val="a"/>
    <w:link w:val="a7"/>
    <w:uiPriority w:val="99"/>
    <w:unhideWhenUsed/>
    <w:rsid w:val="00C3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718"/>
  </w:style>
  <w:style w:type="paragraph" w:styleId="a8">
    <w:name w:val="List Paragraph"/>
    <w:basedOn w:val="a"/>
    <w:uiPriority w:val="34"/>
    <w:qFormat/>
    <w:rsid w:val="00C33718"/>
    <w:pPr>
      <w:ind w:left="720"/>
      <w:contextualSpacing/>
    </w:pPr>
  </w:style>
  <w:style w:type="character" w:styleId="a9">
    <w:name w:val="Emphasis"/>
    <w:basedOn w:val="a0"/>
    <w:uiPriority w:val="20"/>
    <w:qFormat/>
    <w:rsid w:val="00F65A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5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B945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5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3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718"/>
  </w:style>
  <w:style w:type="paragraph" w:styleId="a6">
    <w:name w:val="footer"/>
    <w:basedOn w:val="a"/>
    <w:link w:val="a7"/>
    <w:uiPriority w:val="99"/>
    <w:unhideWhenUsed/>
    <w:rsid w:val="00C3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718"/>
  </w:style>
  <w:style w:type="paragraph" w:styleId="a8">
    <w:name w:val="List Paragraph"/>
    <w:basedOn w:val="a"/>
    <w:uiPriority w:val="34"/>
    <w:qFormat/>
    <w:rsid w:val="00C33718"/>
    <w:pPr>
      <w:ind w:left="720"/>
      <w:contextualSpacing/>
    </w:pPr>
  </w:style>
  <w:style w:type="character" w:styleId="a9">
    <w:name w:val="Emphasis"/>
    <w:basedOn w:val="a0"/>
    <w:uiPriority w:val="20"/>
    <w:qFormat/>
    <w:rsid w:val="00F65A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65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B945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430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46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8444">
                  <w:marLeft w:val="0"/>
                  <w:marRight w:val="0"/>
                  <w:marTop w:val="0"/>
                  <w:marBottom w:val="0"/>
                  <w:divBdr>
                    <w:top w:val="single" w:sz="6" w:space="15" w:color="DDDDDD"/>
                    <w:left w:val="single" w:sz="6" w:space="15" w:color="DDDDDD"/>
                    <w:bottom w:val="single" w:sz="6" w:space="0" w:color="DDDDDD"/>
                    <w:right w:val="single" w:sz="6" w:space="15" w:color="DDDDDD"/>
                  </w:divBdr>
                </w:div>
              </w:divsChild>
            </w:div>
          </w:divsChild>
        </w:div>
      </w:divsChild>
    </w:div>
    <w:div w:id="1306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7559">
                  <w:marLeft w:val="0"/>
                  <w:marRight w:val="2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010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470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87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DDCCAC"/>
                        <w:left w:val="single" w:sz="12" w:space="0" w:color="DDCCAC"/>
                        <w:bottom w:val="single" w:sz="12" w:space="0" w:color="DDCCAC"/>
                        <w:right w:val="single" w:sz="12" w:space="0" w:color="DDCCAC"/>
                      </w:divBdr>
                      <w:divsChild>
                        <w:div w:id="15911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439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0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vestnik-leningradskogo-gosudarstvennogo-universiteta-im-a-s-pushki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7978</Words>
  <Characters>4549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Yevgeniy</cp:lastModifiedBy>
  <cp:revision>10</cp:revision>
  <dcterms:created xsi:type="dcterms:W3CDTF">2020-05-07T14:01:00Z</dcterms:created>
  <dcterms:modified xsi:type="dcterms:W3CDTF">2020-05-17T11:35:00Z</dcterms:modified>
</cp:coreProperties>
</file>